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4E6" w:rsidRPr="00CA44E6" w:rsidRDefault="00CA44E6" w:rsidP="00CA44E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  <w:lang w:eastAsia="pl-PL"/>
        </w:rPr>
      </w:pPr>
      <w:bookmarkStart w:id="0" w:name="_GoBack"/>
      <w:bookmarkEnd w:id="0"/>
      <w:r w:rsidRPr="00CA44E6">
        <w:rPr>
          <w:rFonts w:ascii="Times New Roman" w:eastAsia="Times New Roman" w:hAnsi="Times New Roman" w:cs="Times New Roman"/>
          <w:b/>
          <w:bCs/>
          <w:sz w:val="32"/>
          <w:szCs w:val="36"/>
          <w:lang w:eastAsia="pl-PL"/>
        </w:rPr>
        <w:t>Strategia Rozwoju Polski do 2035 r. - projekt do konsultacji publicznych</w:t>
      </w:r>
    </w:p>
    <w:p w:rsidR="00CA44E6" w:rsidRPr="00CA44E6" w:rsidRDefault="00CA44E6" w:rsidP="00CA4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4"/>
          <w:szCs w:val="27"/>
          <w:lang w:eastAsia="pl-PL"/>
        </w:rPr>
        <w:t>Projekt Strategii Rozwoju Polski do 2035 r.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 xml:space="preserve">Przekazujemy do konsultacji publicznych projekt średniookresowej strategii rozwoju kraju - „Strategię Rozwoju Polski do 2035 r.”. Jest to kluczowy dokument strategiczny polskiego państwa, określający cele i kierunki rozwoju kraju w wymiarze społecznym, gospodarczym i przestrzennym.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Strategia została sformułowana w sposób partnerski w środowisku administracji publicznej – w proces jej tworzenia zaangażowały się poszczególne resorty, urzędnicy szczebla regionalnego oraz przedstawiciele różnych instytucji publicznych. W ramach konsultacji publicznych chcemy poznać ocenę i preferencje obywateli na temat zapisów dokumentu. W ten sposób włączamy obywateli w proces decyzyjny i stworzymy dokument akceptowalny przez możliwie największą część społeczeństwa.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>Uwagi na temat Strategii można zgłaszać na dwa sposoby: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br/>
        <w:t>1) poprzez formularz elektroniczny [</w:t>
      </w:r>
      <w:hyperlink r:id="rId5" w:history="1">
        <w:r w:rsidRPr="00CA44E6">
          <w:rPr>
            <w:rFonts w:ascii="Times New Roman" w:eastAsia="Times New Roman" w:hAnsi="Times New Roman" w:cs="Times New Roman"/>
            <w:b/>
            <w:bCs/>
            <w:color w:val="0563C1"/>
            <w:sz w:val="20"/>
            <w:u w:val="single"/>
            <w:lang w:eastAsia="pl-PL"/>
          </w:rPr>
          <w:t>link do formularza</w:t>
        </w:r>
      </w:hyperlink>
      <w:r w:rsidRPr="00CA44E6">
        <w:rPr>
          <w:rFonts w:ascii="Times New Roman" w:eastAsia="Times New Roman" w:hAnsi="Times New Roman" w:cs="Times New Roman"/>
          <w:sz w:val="20"/>
          <w:lang w:eastAsia="pl-PL"/>
        </w:rPr>
        <w:t>]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br/>
        <w:t>2) przesyłając wypełniony formularz (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do pobrania na dole strony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) na skrzynkę: </w:t>
      </w:r>
      <w:hyperlink r:id="rId6" w:history="1">
        <w:r w:rsidRPr="00CA44E6">
          <w:rPr>
            <w:rFonts w:ascii="Times New Roman" w:eastAsia="Times New Roman" w:hAnsi="Times New Roman" w:cs="Times New Roman"/>
            <w:b/>
            <w:bCs/>
            <w:color w:val="0563C1"/>
            <w:sz w:val="20"/>
            <w:u w:val="single"/>
            <w:lang w:eastAsia="pl-PL"/>
          </w:rPr>
          <w:t>Strategia2035@mfipr.gov.pl</w:t>
        </w:r>
      </w:hyperlink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 xml:space="preserve">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Równolegle prezentujemy prognozę oddziaływania na środowisko projektu Strategii, która została dołączona do konsultowanego dokumentu.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u w:val="single"/>
          <w:lang w:eastAsia="pl-PL"/>
        </w:rPr>
        <w:t xml:space="preserve">Konsultacje projektu Strategii wraz z prognozą oddziaływania na środowisko potrwają do 31 października br.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>Ostateczny projekt „Strategii Rozwoju Polski do 2035 r.” zostanie przedłożony Radzie Ministrów w IV kw. br.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color w:val="002F6D"/>
          <w:szCs w:val="24"/>
          <w:lang w:eastAsia="pl-PL"/>
        </w:rPr>
        <w:t>Jaki jest główny przekaz Strategii?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>Motywem przewodnim Strategii jest poszukiwanie nowej równowagi między:</w:t>
      </w:r>
    </w:p>
    <w:p w:rsidR="00CA44E6" w:rsidRPr="00CA44E6" w:rsidRDefault="00CA44E6" w:rsidP="00CA44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konkurencyjnością gospodarki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, czyli jej zdolnością do utrzymania wysokiego wzrostu gospodarczego, </w:t>
      </w:r>
    </w:p>
    <w:p w:rsidR="00CA44E6" w:rsidRPr="00CA44E6" w:rsidRDefault="00CA44E6" w:rsidP="00CA44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spójnością społeczną i terytorialną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>, czyli dbałość o dobrą jakość życia wszystkich obywateli niezależnie od ich miejsca zamieszkania,</w:t>
      </w:r>
    </w:p>
    <w:p w:rsidR="00CA44E6" w:rsidRPr="00CA44E6" w:rsidRDefault="00CA44E6" w:rsidP="00CA44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bezpieczeństwem kraju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, rozumianym nie tylko jako siła militarna, ale także odporność społeczeństwa i instytucji państwa na sytuacje kryzysowe.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Strategia określa trzy główne cele dla polityki rozwoju państwa w najbliższej dekadzie oraz jeden cel horyzontalny: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noProof/>
          <w:sz w:val="20"/>
        </w:rPr>
        <w:drawing>
          <wp:inline distT="0" distB="0" distL="0" distR="0" wp14:anchorId="01C8C3D3" wp14:editId="091A370A">
            <wp:extent cx="5768340" cy="1790700"/>
            <wp:effectExtent l="0" t="0" r="3810" b="0"/>
            <wp:docPr id="1" name="Obraz 1" descr="C:\Users\Lenovo 52020\AppData\Local\Microsoft\Windows\INetCache\Content.MSO\BF1D32B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 52020\AppData\Local\Microsoft\Windows\INetCache\Content.MSO\BF1D32B7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4E6">
        <w:rPr>
          <w:rFonts w:ascii="Times New Roman" w:eastAsia="Times New Roman" w:hAnsi="Times New Roman" w:cs="Times New Roman"/>
          <w:b/>
          <w:bCs/>
          <w:color w:val="002F6D"/>
          <w:szCs w:val="24"/>
          <w:lang w:eastAsia="pl-PL"/>
        </w:rPr>
        <w:t>W jaki sposób Strategia będzie realizowana?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lastRenderedPageBreak/>
        <w:t>W Strategii zagwarantowano mechanizmy, które zapewnią jej publiczną rozliczalność oraz elastyczność.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Cyklicznym dokumentem będzie 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Roczna Diagnoza Strategiczna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obejmująca opis zmieniających się uwarunkowań dla realizacji Strategii oraz ocenę jej wdrażania. Strategia będzie monitorowana przy pomocy wskaźników realizacji w perspektywie 2035 r., z wartościami pośrednimi dla 2030 r. Strategia obejmuje także 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Plan działań zawierający kluczowe z punktu widzenia jej celów projekty, których realizacja nastąpi w latach 2026-2029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>.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color w:val="002F6D"/>
          <w:szCs w:val="24"/>
          <w:lang w:eastAsia="pl-PL"/>
        </w:rPr>
        <w:t>Jak zbudowana jest Strategia?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Strategia składa się z czterech części: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1)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diagnostycznej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– zawiera najważniejsze wnioski z diagnozy sytuacji społecznej, gospodarczej i przestrzennej kraju;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2)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kierunkowej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– przedstawia opis czterech celów Strategii, które nawiązują do zarysowanej wyżej potrzeby budowy nowej równowagi; 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3)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 xml:space="preserve">wdrożeniowej 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– zawiera opis siedemnastu priorytetów, </w:t>
      </w:r>
      <w:r w:rsidRPr="00CA44E6">
        <w:rPr>
          <w:rFonts w:ascii="Times New Roman" w:eastAsia="Times New Roman" w:hAnsi="Times New Roman" w:cs="Times New Roman"/>
          <w:color w:val="333333"/>
          <w:sz w:val="20"/>
          <w:lang w:eastAsia="pl-PL"/>
        </w:rPr>
        <w:t xml:space="preserve">których realizacja jest niezbędna dla </w:t>
      </w:r>
      <w:r w:rsidRPr="00CA44E6">
        <w:rPr>
          <w:rFonts w:ascii="Times New Roman" w:eastAsia="Times New Roman" w:hAnsi="Times New Roman" w:cs="Times New Roman"/>
          <w:color w:val="000000"/>
          <w:sz w:val="20"/>
          <w:lang w:eastAsia="pl-PL"/>
        </w:rPr>
        <w:t>osiągnięcia celów Strategii. W priorytetach określono kluczowe wyzwania w danym obszarze, kierunki działań oraz wskaźniki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>. W tej części zdefiniowano także obszary strategicznej interwencji państwa oraz przedstawiono model struktury funkcjonalno-przestrzennej kraju.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>4)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 xml:space="preserve"> </w:t>
      </w:r>
      <w:r w:rsidRPr="00CA44E6">
        <w:rPr>
          <w:rFonts w:ascii="Times New Roman" w:eastAsia="Times New Roman" w:hAnsi="Times New Roman" w:cs="Times New Roman"/>
          <w:b/>
          <w:bCs/>
          <w:sz w:val="20"/>
          <w:lang w:eastAsia="pl-PL"/>
        </w:rPr>
        <w:t xml:space="preserve">systemu realizacji Strategii </w:t>
      </w:r>
      <w:r w:rsidRPr="00CA44E6">
        <w:rPr>
          <w:rFonts w:ascii="Times New Roman" w:eastAsia="Times New Roman" w:hAnsi="Times New Roman" w:cs="Times New Roman"/>
          <w:sz w:val="20"/>
          <w:lang w:eastAsia="pl-PL"/>
        </w:rPr>
        <w:t>– zawiera charakterystykę wskazanych wyżej narzędzi monitorowania – zestawu wskaźników, czteroletniego Planu działań i Rocznej Diagnozy Strategicznej, a także z opis ram finansowych Strategii.  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color w:val="002F6D"/>
          <w:szCs w:val="24"/>
          <w:lang w:eastAsia="pl-PL"/>
        </w:rPr>
        <w:t>Strategia w liczbach</w:t>
      </w:r>
    </w:p>
    <w:p w:rsidR="00CA44E6" w:rsidRPr="00CA44E6" w:rsidRDefault="00CA44E6" w:rsidP="00CA4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A44E6">
        <w:rPr>
          <w:rFonts w:ascii="Times New Roman" w:eastAsia="Times New Roman" w:hAnsi="Times New Roman" w:cs="Times New Roman"/>
          <w:sz w:val="20"/>
          <w:lang w:eastAsia="pl-PL"/>
        </w:rPr>
        <w:t>Strategia składa się z 4 celów, 17 priorytetów oraz 88 kierunków działań.</w:t>
      </w:r>
    </w:p>
    <w:p w:rsidR="00CA44E6" w:rsidRPr="00CA44E6" w:rsidRDefault="00CA44E6" w:rsidP="00CA4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pl-PL"/>
        </w:rPr>
      </w:pPr>
      <w:r w:rsidRPr="00CA44E6">
        <w:rPr>
          <w:rFonts w:ascii="Times New Roman" w:eastAsia="Times New Roman" w:hAnsi="Times New Roman" w:cs="Times New Roman"/>
          <w:b/>
          <w:bCs/>
          <w:sz w:val="24"/>
          <w:szCs w:val="27"/>
          <w:lang w:eastAsia="pl-PL"/>
        </w:rPr>
        <w:t>Materiały</w:t>
      </w:r>
    </w:p>
    <w:p w:rsidR="00CA44E6" w:rsidRPr="00CA44E6" w:rsidRDefault="001271D1" w:rsidP="00CA44E6">
      <w:pPr>
        <w:rPr>
          <w:rFonts w:ascii="Times New Roman" w:eastAsia="Times New Roman" w:hAnsi="Times New Roman" w:cs="Times New Roman"/>
          <w:szCs w:val="24"/>
          <w:lang w:eastAsia="pl-PL"/>
        </w:rPr>
      </w:pPr>
      <w:hyperlink r:id="rId8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Załącznik 1. Plan działań na lata 2026-2029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Zalacznik​_1​_Plan​_dzialan​_na​_lata​_2026-2029.pdf 0.31MB </w:t>
        </w:r>
      </w:hyperlink>
      <w:hyperlink r:id="rId9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Załącznik 2. Tabela ze wskaźnikami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Zalacznik​_2​_Tabela​_ze​_wskaznikami.pdf 0.09MB </w:t>
        </w:r>
      </w:hyperlink>
      <w:hyperlink r:id="rId10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Załącznik 3. Delimitacja OSI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Zalacznik​_3​_Delimitacja​_OSI.pdf 0.14MB </w:t>
        </w:r>
      </w:hyperlink>
      <w:hyperlink r:id="rId11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Załącznik 4. Opis policentrycznej sieci miast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Zalacznik​_4​_Opis​_policentrycznej​_sieci​_miast.pdf 0.16MB </w:t>
        </w:r>
      </w:hyperlink>
      <w:hyperlink r:id="rId12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Strategia Rozwoju Polski do 2035 r. - projekt do konsultacji publicznych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Strategia​_Rozwoju​_Polski​_do​_2035​_r​_-​_projekt​_do​_konsultacji​_publicznych.pdf 11.57MB </w:t>
        </w:r>
      </w:hyperlink>
      <w:hyperlink r:id="rId13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Formularz do zgłaszania uwag - Strategia Rozwoju Polski do 2035 r.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Formularz​_uwag​_SRP2035.docx 0.04MB </w:t>
        </w:r>
      </w:hyperlink>
      <w:hyperlink r:id="rId14" w:tgtFrame="_blank" w:history="1"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t>Prognoza oddziaływania na środowisko​_SRP2035</w:t>
        </w:r>
        <w:r w:rsidR="00CA44E6" w:rsidRPr="00CA44E6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pl-PL"/>
          </w:rPr>
          <w:br/>
          <w:t xml:space="preserve">PROJEKT​_PROGNOZY​_SRP2035.pdf 5.96MB </w:t>
        </w:r>
      </w:hyperlink>
    </w:p>
    <w:p w:rsidR="00CA44E6" w:rsidRPr="00CA44E6" w:rsidRDefault="00CA44E6" w:rsidP="00CA44E6">
      <w:pPr>
        <w:rPr>
          <w:sz w:val="20"/>
        </w:rPr>
      </w:pPr>
    </w:p>
    <w:p w:rsidR="00CA44E6" w:rsidRDefault="001271D1" w:rsidP="00CA44E6">
      <w:pPr>
        <w:rPr>
          <w:sz w:val="20"/>
        </w:rPr>
      </w:pPr>
      <w:hyperlink r:id="rId15" w:history="1">
        <w:r w:rsidR="00CA44E6" w:rsidRPr="008152F4">
          <w:rPr>
            <w:rStyle w:val="Hipercze"/>
            <w:sz w:val="20"/>
          </w:rPr>
          <w:t>https://www.gov.pl/web/fundusze-regiony/strategia-rozwoju-polski-do-2035-r--projekt-do-konsultacji-publicznych</w:t>
        </w:r>
      </w:hyperlink>
    </w:p>
    <w:p w:rsidR="00CA44E6" w:rsidRPr="00CA44E6" w:rsidRDefault="00CA44E6" w:rsidP="00CA44E6">
      <w:pPr>
        <w:rPr>
          <w:sz w:val="20"/>
        </w:rPr>
      </w:pPr>
    </w:p>
    <w:sectPr w:rsidR="00CA44E6" w:rsidRPr="00CA4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C7328"/>
    <w:multiLevelType w:val="multilevel"/>
    <w:tmpl w:val="3A86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E6"/>
    <w:rsid w:val="001271D1"/>
    <w:rsid w:val="00CA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5586F-C222-4393-A74D-94FC2D34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4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4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51878927-3464-4529-95d9-b602a7c717cd" TargetMode="External"/><Relationship Id="rId13" Type="http://schemas.openxmlformats.org/officeDocument/2006/relationships/hyperlink" Target="https://www.gov.pl/attachment/5a95e271-9f14-44d9-affa-cb2dd00e253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gov.pl/attachment/a9125b06-57ba-4e3b-b1be-50719a724eb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Strategia2035@mfipr.gov.pl" TargetMode="External"/><Relationship Id="rId11" Type="http://schemas.openxmlformats.org/officeDocument/2006/relationships/hyperlink" Target="https://www.gov.pl/attachment/08e54ee2-9587-42a4-8ca3-52d62133e6f9" TargetMode="External"/><Relationship Id="rId5" Type="http://schemas.openxmlformats.org/officeDocument/2006/relationships/hyperlink" Target="https://forms.cloud.microsoft/pages/responsepage.aspx?id=LLZT6d0lu0eprZrGBMQ0rVQWpeoT5QtBiEjNE3wILFVUMFkyTTNXVkpQMFJFUDk5TjFBNVRQSFQ3MC4u&amp;route=shorturl" TargetMode="External"/><Relationship Id="rId15" Type="http://schemas.openxmlformats.org/officeDocument/2006/relationships/hyperlink" Target="https://www.gov.pl/web/fundusze-regiony/strategia-rozwoju-polski-do-2035-r--projekt-do-konsultacji-publicznych" TargetMode="External"/><Relationship Id="rId10" Type="http://schemas.openxmlformats.org/officeDocument/2006/relationships/hyperlink" Target="https://www.gov.pl/attachment/266e41f7-870c-4d46-ba97-45d7a5c7ff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attachment/d4c3b7aa-c06b-4171-a8ec-e2a4d8c74126" TargetMode="External"/><Relationship Id="rId14" Type="http://schemas.openxmlformats.org/officeDocument/2006/relationships/hyperlink" Target="https://www.gov.pl/attachment/8fe208c2-d9a6-4088-9651-69f59388e0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52020</dc:creator>
  <cp:keywords/>
  <dc:description/>
  <cp:lastModifiedBy>Lenovo 52020</cp:lastModifiedBy>
  <cp:revision>2</cp:revision>
  <dcterms:created xsi:type="dcterms:W3CDTF">2025-10-01T12:56:00Z</dcterms:created>
  <dcterms:modified xsi:type="dcterms:W3CDTF">2025-10-01T12:56:00Z</dcterms:modified>
</cp:coreProperties>
</file>